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3134725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6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6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6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654-т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7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left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661"/>
        <w:contextualSpacing/>
        <w:jc w:val="center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pStyle w:val="661"/>
        <w:contextualSpacing/>
        <w:jc w:val="center"/>
        <w:spacing w:before="0" w:after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pStyle w:val="661"/>
        <w:contextualSpacing/>
        <w:jc w:val="center"/>
        <w:spacing w:before="0" w:after="0"/>
        <w:rPr>
          <w:rFonts w:ascii="Liberation Sans" w:hAnsi="Liberation Sans" w:cs="Liberation Sans"/>
          <w:color w:val="0000ff"/>
          <w:highlight w:val="none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erif" w:cs="Liberation Sans"/>
          <w:b/>
          <w:bCs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изменения в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приложения №№ 1, 2 </w:t>
      </w:r>
      <w:r>
        <w:rPr>
          <w:rFonts w:ascii="Liberation Sans" w:hAnsi="Liberation Sans" w:cs="Liberation Sans"/>
          <w:b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департамента тарифной политики, энергетики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и жилищно-коммунального комплекса Ямало-Ненецкого автономного округа от 29 ноября 2020 года № 141-т</w:t>
      </w:r>
      <w:r/>
    </w:p>
    <w:p>
      <w:pPr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         п р и к а з ы в а ю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>
        <w:rPr>
          <w:b w:val="0"/>
          <w:bCs w:val="0"/>
        </w:rPr>
      </w:r>
      <w:r/>
    </w:p>
    <w:p>
      <w:pPr>
        <w:ind w:firstLine="540"/>
        <w:jc w:val="both"/>
        <w:rPr>
          <w:b w:val="0"/>
          <w:bCs w:val="0"/>
        </w:rPr>
      </w:pP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Утвердить прилагаемое изменение, которое вносится в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приложения №№ 1, 2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к приказу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департамента тарифной политики, энергетики и жилищно-коммунального комплекса Ямало-Ненецкого автономного округа от 29 ноября 2020 года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№ 141-т «Об установлении тарифов на тепловую энергию (мощно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сть), производимую ф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илиалом акционерного общества «Ямалкоммунэнерго» в Шурышкарском районе </w:t>
        <w:br/>
        <w:t xml:space="preserve">и поставляемую потребителям села Овгорт 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муниципального образования муниципальный округ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и долгосрочных параметров регулирования тарифов на 2020 - 2025 годы».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6"/>
          <w:szCs w:val="26"/>
        </w:rPr>
      </w:pPr>
      <w:r>
        <w:rPr>
          <w:rFonts w:ascii="Liberation Sans" w:hAnsi="Liberation Sans" w:eastAsia="Liberation Serif" w:cs="Liberation Sans"/>
          <w:sz w:val="26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661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>
        <w:rPr>
          <w:rFonts w:ascii="Liberation Sans" w:hAnsi="Liberation Sans" w:cs="Liberation Sans"/>
        </w:rPr>
      </w:r>
      <w:r/>
    </w:p>
    <w:p>
      <w:pPr>
        <w:pStyle w:val="661"/>
        <w:ind w:left="-142"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pStyle w:val="661"/>
        <w:ind w:left="-142" w:firstLine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 w:firstLine="0"/>
        <w:rPr>
          <w:rFonts w:ascii="Liberation Sans" w:hAnsi="Liberation Sans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cs="Liberation Sans"/>
        </w:rPr>
      </w:r>
      <w:r/>
    </w:p>
    <w:p>
      <w:pPr>
        <w:pStyle w:val="856"/>
        <w:ind w:left="8789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>
        <w:rPr>
          <w:rFonts w:ascii="Liberation Sans" w:hAnsi="Liberation Sans" w:cs="Liberation Sans"/>
        </w:rPr>
      </w:r>
      <w:r/>
    </w:p>
    <w:p>
      <w:pPr>
        <w:pStyle w:val="856"/>
        <w:ind w:left="8789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56"/>
        <w:ind w:left="8789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pStyle w:val="856"/>
        <w:ind w:left="8789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56"/>
        <w:ind w:left="8789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654-т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ind w:firstLine="0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44"/>
        <w:ind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 </w:t>
      </w:r>
      <w:r>
        <w:rPr>
          <w:rFonts w:ascii="Liberation Sans" w:hAnsi="Liberation Sans" w:cs="Liberation Sans"/>
        </w:rPr>
      </w:r>
      <w:r/>
    </w:p>
    <w:p>
      <w:pPr>
        <w:pStyle w:val="844"/>
        <w:ind w:firstLine="0"/>
        <w:jc w:val="center"/>
        <w:rPr>
          <w:rFonts w:ascii="Liberation Sans" w:hAnsi="Liberation Sans" w:cs="Liberation Sans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оторое вносится в приложения №№ 1, 2 к приказу 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41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44"/>
        <w:ind w:firstLine="0"/>
        <w:jc w:val="center"/>
        <w:rPr>
          <w:rFonts w:ascii="Liberation Sans" w:hAnsi="Liberation Sans" w:cs="Liberation Sans"/>
          <w:sz w:val="24"/>
          <w:szCs w:val="28"/>
        </w:rPr>
      </w:pPr>
      <w:r>
        <w:rPr>
          <w:rFonts w:ascii="Liberation Sans" w:hAnsi="Liberation Sans" w:cs="Liberation Sans"/>
          <w:sz w:val="24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6"/>
        <w:ind w:left="1080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Приложения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№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№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1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, 2</w:t>
      </w:r>
      <w:r>
        <w:rPr>
          <w:rFonts w:ascii="Liberation Sans" w:hAnsi="Liberation Sans" w:eastAsia="Liberation Serif" w:cs="Liberation Sans"/>
          <w:sz w:val="24"/>
          <w:szCs w:val="28"/>
        </w:rPr>
        <w:t xml:space="preserve"> изложить в следующей редакции: </w:t>
      </w:r>
      <w:r>
        <w:rPr>
          <w:rFonts w:ascii="Liberation Sans" w:hAnsi="Liberation Sans" w:cs="Liberation Sans"/>
        </w:rPr>
      </w:r>
      <w:r/>
    </w:p>
    <w:p>
      <w:pPr>
        <w:pStyle w:val="856"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56"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>
        <w:rPr>
          <w:rFonts w:ascii="Liberation Sans" w:hAnsi="Liberation Sans" w:cs="Liberation Sans"/>
        </w:rPr>
      </w:r>
      <w:r/>
    </w:p>
    <w:p>
      <w:pPr>
        <w:pStyle w:val="856"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pStyle w:val="856"/>
        <w:contextualSpacing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pStyle w:val="856"/>
        <w:contextualSpacing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</w:t>
      </w:r>
      <w:r>
        <w:rPr>
          <w:rFonts w:ascii="Liberation Sans" w:hAnsi="Liberation Sans" w:eastAsia="Liberation Serif" w:cs="Liberation Sans"/>
          <w:sz w:val="24"/>
        </w:rPr>
        <w:t xml:space="preserve">ого ко</w:t>
      </w:r>
      <w:r>
        <w:rPr>
          <w:rFonts w:ascii="Liberation Sans" w:hAnsi="Liberation Sans" w:eastAsia="Liberation Serif" w:cs="Liberation Sans"/>
          <w:sz w:val="24"/>
        </w:rPr>
        <w:t xml:space="preserve">мплекса </w:t>
      </w:r>
      <w:r>
        <w:rPr>
          <w:rFonts w:ascii="Liberation Sans" w:hAnsi="Liberation Sans" w:cs="Liberation Sans"/>
        </w:rPr>
      </w:r>
      <w:r/>
    </w:p>
    <w:p>
      <w:pPr>
        <w:pStyle w:val="856"/>
        <w:contextualSpacing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56"/>
        <w:contextualSpacing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</w:t>
      </w:r>
      <w:r>
        <w:rPr>
          <w:rFonts w:ascii="Liberation Sans" w:hAnsi="Liberation Sans" w:eastAsia="Liberation Serif" w:cs="Liberation Sans"/>
          <w:sz w:val="24"/>
        </w:rPr>
        <w:t xml:space="preserve">41</w:t>
      </w:r>
      <w:r>
        <w:rPr>
          <w:rFonts w:ascii="Liberation Sans" w:hAnsi="Liberation Sans" w:eastAsia="Liberation Serif" w:cs="Liberation Sans"/>
          <w:sz w:val="24"/>
        </w:rPr>
        <w:t xml:space="preserve">-т</w:t>
      </w:r>
      <w:r>
        <w:rPr>
          <w:rFonts w:ascii="Liberation Sans" w:hAnsi="Liberation Sans" w:cs="Liberation Sans"/>
        </w:rPr>
      </w:r>
      <w:r/>
    </w:p>
    <w:p>
      <w:pPr>
        <w:pStyle w:val="856"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pStyle w:val="856"/>
        <w:ind w:left="8789" w:firstLine="425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654-т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contextualSpacing/>
        <w:ind w:right="-315"/>
        <w:jc w:val="both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jc w:val="center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ТАРИФЫ НА ТЕПЛОВУЮ ЭНЕРГИЮ (МОЩНОСТЬ), ПРОИЗВОДИМУЮ ФИЛИАЛОМ АКЦИОНЕРНОГО ОБЩЕСТВА «ЯМАЛКОММУНЭНЕРГО» В ШУРЫШКАРСКОМ РАЙОНЕ И ПОСТАВЛЯЕМУЮ ПОТРЕБИТЕЛЯМ СЕЛА ОВГОРТ МУНИЦИПАЛЬНОГО ОБРАЗОВАНИЯ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МУНИЦИПАЛЬНЫЙ ОКРУГ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2020 – 2025 ГОДЫ</w:t>
      </w:r>
      <w:r>
        <w:rPr>
          <w:rFonts w:ascii="Liberation Sans" w:hAnsi="Liberation Sans" w:cs="Liberation Sans"/>
        </w:rPr>
      </w:r>
      <w:r/>
    </w:p>
    <w:p>
      <w:pPr>
        <w:pStyle w:val="851"/>
        <w:jc w:val="center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b w:val="0"/>
          <w:sz w:val="24"/>
          <w:szCs w:val="28"/>
          <w:highlight w:val="none"/>
        </w:rPr>
      </w:r>
      <w:r/>
    </w:p>
    <w:tbl>
      <w:tblPr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56"/>
        <w:gridCol w:w="2414"/>
        <w:gridCol w:w="2001"/>
        <w:gridCol w:w="1163"/>
        <w:gridCol w:w="2019"/>
        <w:gridCol w:w="1046"/>
        <w:gridCol w:w="862"/>
        <w:gridCol w:w="1145"/>
        <w:gridCol w:w="973"/>
        <w:gridCol w:w="979"/>
        <w:gridCol w:w="1911"/>
      </w:tblGrid>
      <w:tr>
        <w:trPr>
          <w:jc w:val="center"/>
          <w:trHeight w:val="763"/>
        </w:trPr>
        <w:tc>
          <w:tcPr>
            <w:tcW w:w="1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6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131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763"/>
        </w:trPr>
        <w:tc>
          <w:tcPr>
            <w:tcW w:w="1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1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W w:w="8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W w:w="66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W w:w="3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от 1,2 до 2,5 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от 2,5 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до 7,0 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от 7,0 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до 13,0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свыше 13,0 кг/см2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  <w:tc>
          <w:tcPr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1"/>
                <w:szCs w:val="21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1"/>
                <w:szCs w:val="21"/>
              </w:rPr>
              <w:t xml:space="preserve">-</w:t>
            </w:r>
            <w:r>
              <w:rPr>
                <w:rFonts w:ascii="Liberation Sans" w:hAnsi="Liberation Sans" w:cs="Liberation Sans"/>
                <w:sz w:val="21"/>
                <w:szCs w:val="21"/>
              </w:rPr>
            </w:r>
            <w:r/>
          </w:p>
        </w:tc>
      </w:tr>
      <w:tr>
        <w:trPr>
          <w:jc w:val="center"/>
          <w:trHeight w:val="426"/>
        </w:trPr>
        <w:tc>
          <w:tcPr>
            <w:tcW w:w="1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0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bottom w:val="single" w:color="000000" w:sz="4" w:space="0"/>
            </w:tcBorders>
            <w:tcW w:w="4015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Для потребителей, в случае отсутствия дифференциации тарифов по схеме подключения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W w:w="18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80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</w:rPr>
              <w:br/>
              <w:t xml:space="preserve">в Шурышкарском районе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11416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737"/>
        </w:trPr>
        <w:tc>
          <w:tcPr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11416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11052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10915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10915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763"/>
        </w:trPr>
        <w:tc>
          <w:tcPr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12489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12489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12489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17196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12856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763"/>
        </w:trPr>
        <w:tc>
          <w:tcPr>
            <w:tcW w:w="18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W w:w="80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</w:rPr>
            </w:r>
            <w:r>
              <w:rPr>
                <w:rFonts w:ascii="PT Astra Serif" w:hAnsi="PT Astra Serif"/>
                <w:bCs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6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12695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8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25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3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contextualSpacing/>
        <w:ind w:right="-315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            </w:t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sz w:val="24"/>
        </w:rPr>
        <w:tab/>
      </w:r>
      <w:r>
        <w:rPr>
          <w:rFonts w:ascii="Liberation Sans" w:hAnsi="Liberation Sans" w:eastAsia="Liberation Serif" w:cs="Liberation Sans"/>
          <w:color w:val="ffffff"/>
          <w:sz w:val="24"/>
        </w:rPr>
        <w:t xml:space="preserve">          О</w:t>
      </w:r>
      <w:r>
        <w:rPr>
          <w:rFonts w:ascii="Liberation Sans" w:hAnsi="Liberation Sans" w:cs="Liberation Sans"/>
        </w:rPr>
      </w:r>
      <w:r/>
    </w:p>
    <w:p>
      <w:pPr>
        <w:ind w:left="921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9214"/>
        <w:rPr>
          <w:rFonts w:ascii="Liberation Sans" w:hAnsi="Liberation Sans" w:eastAsia="Liberation Serif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contextualSpacing/>
        <w:ind w:left="921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1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1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contextualSpacing/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141-т</w:t>
      </w:r>
      <w:r>
        <w:rPr>
          <w:rFonts w:ascii="Liberation Sans" w:hAnsi="Liberation Sans" w:cs="Liberation Sans"/>
        </w:rPr>
      </w:r>
      <w:r/>
    </w:p>
    <w:p>
      <w:pPr>
        <w:ind w:left="9204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8789" w:firstLine="425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19 декабря 2023 года № 654-т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pStyle w:val="851"/>
        <w:jc w:val="center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b w:val="0"/>
          <w:sz w:val="24"/>
          <w:szCs w:val="28"/>
          <w:highlight w:val="none"/>
        </w:rPr>
      </w:r>
      <w:r/>
    </w:p>
    <w:p>
      <w:pPr>
        <w:pStyle w:val="851"/>
        <w:jc w:val="center"/>
        <w:widowControl/>
        <w:rPr>
          <w:rFonts w:ascii="Liberation Sans" w:hAnsi="Liberation Sans" w:eastAsia="Liberation Serif" w:cs="Liberation Sans"/>
          <w:b w:val="0"/>
          <w:bCs w:val="0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ЛЬГОТНЫЕ ТАРИФЫ НА ТЕПЛОВУЮ ЭНЕРГИЮ (МОЩНОСТЬ), ПРОИЗВОДИМУЮ ФИЛИАЛОМ АКЦИОНЕРНОГО ОБЩЕСТВА «ЯМАЛКОММУНЭНЕРГО» В ШУРЫШКАРСКОМ РАЙОНЕ И ПОСТАВЛЯЕМУЮ ПОТРЕБИТЕЛЯМ СЕЛА ОВГОРТ МУНИЦИПАЛЬНОГО ОБРАЗОВАНИЯ </w:t>
      </w:r>
      <w:r>
        <w:rPr>
          <w:rFonts w:ascii="Liberation Sans" w:hAnsi="Liberation Sans" w:eastAsia="Liberation Serif" w:cs="Liberation Sans"/>
          <w:b w:val="0"/>
          <w:color w:val="000000"/>
          <w:sz w:val="24"/>
        </w:rPr>
        <w:t xml:space="preserve">МУНИЦИПАЛЬНЫЙ ОКРУГ ШУРЫШКАРСКИЙ РАЙОН 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sz w:val="24"/>
          <w:szCs w:val="28"/>
        </w:rPr>
        <w:t xml:space="preserve">, НА 2020 – 2025 ГОДЫ</w:t>
      </w:r>
      <w:r>
        <w:rPr>
          <w:rFonts w:ascii="Liberation Sans" w:hAnsi="Liberation Sans" w:cs="Liberation Sans"/>
        </w:rPr>
      </w:r>
      <w:r/>
    </w:p>
    <w:p>
      <w:pPr>
        <w:pStyle w:val="851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tbl>
      <w:tblPr>
        <w:tblW w:w="508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91"/>
        <w:gridCol w:w="2460"/>
        <w:gridCol w:w="2027"/>
        <w:gridCol w:w="1194"/>
        <w:gridCol w:w="2046"/>
        <w:gridCol w:w="1075"/>
        <w:gridCol w:w="877"/>
        <w:gridCol w:w="1179"/>
        <w:gridCol w:w="1007"/>
        <w:gridCol w:w="912"/>
        <w:gridCol w:w="1948"/>
      </w:tblGrid>
      <w:tr>
        <w:trPr>
          <w:jc w:val="center"/>
        </w:trPr>
        <w:tc>
          <w:tcPr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№ 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Наименование регулируемой 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Вид тарифа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Календарная разбивка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Вода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W w:w="131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Отборный пар давлением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Острый и редуцированный пар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1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 1,2 до 2,5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 2,5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до 7,0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от 7,0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до 13,0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свыше 13,0 кг/см2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</w:trPr>
        <w:tc>
          <w:tcPr>
            <w:tcW w:w="2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79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textDirection w:val="lrTb"/>
            <w:noWrap w:val="false"/>
          </w:tcPr>
          <w:p>
            <w:pPr>
              <w:contextualSpacing/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Для потребителей, в случае отсутствия дифференциации тарифов по схеме подключения&lt;*&gt;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70"/>
        </w:trPr>
        <w:tc>
          <w:tcPr>
            <w:tcW w:w="20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1.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t xml:space="preserve">Филиал акционерного общества «Ямалкоммунэнерго» </w:t>
            </w:r>
            <w:r>
              <w:rPr>
                <w:rFonts w:ascii="Liberation Sans" w:hAnsi="Liberation Sans" w:eastAsia="Liberation Serif" w:cs="Liberation Sans"/>
                <w:bCs/>
                <w:color w:val="000000"/>
                <w:sz w:val="24"/>
                <w:szCs w:val="23"/>
              </w:rPr>
              <w:br/>
              <w:t xml:space="preserve">в Шурышкарском районе 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1211,59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72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1211,59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0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1252,78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38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1252,78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1295,37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1411,96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1524,91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635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38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3"/>
                <w:szCs w:val="23"/>
              </w:rPr>
            </w:r>
            <w:r>
              <w:rPr>
                <w:rFonts w:ascii="PT Astra Serif" w:hAnsi="PT Astra Serif"/>
                <w:bCs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gridSpan w:val="9"/>
            <w:tcBorders>
              <w:top w:val="single" w:color="000000" w:sz="4" w:space="0"/>
              <w:bottom w:val="single" w:color="000000" w:sz="4" w:space="0"/>
            </w:tcBorders>
            <w:tcW w:w="4005" w:type="pc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Население &lt;**&gt;(тарифы указываются с учетом НДС)&lt;***&gt;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одноставочный руб./Гкал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01.12.2020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1453,91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1453,91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01.07.2021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1503,34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18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2022</w:t>
            </w:r>
            <w:r>
              <w:rPr>
                <w:rFonts w:ascii="Liberation Sans" w:hAnsi="Liberation Sans" w:cs="Liberation Sans"/>
                <w:color w:val="000000"/>
                <w:sz w:val="24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1503,34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01.07.2022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30.11.2022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1554,45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01.12.2022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   01.01.2023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  31.12.2023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1694,35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01.07.2024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1829,89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01.01.2025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30.06.2025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jc w:val="center"/>
          <w:trHeight w:val="547"/>
        </w:trPr>
        <w:tc>
          <w:tcPr>
            <w:tcW w:w="20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W w:w="7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3"/>
                <w:szCs w:val="23"/>
              </w:rPr>
            </w:r>
            <w:r>
              <w:rPr>
                <w:rFonts w:ascii="PT Astra Serif" w:hAnsi="PT Astra Serif"/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67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с    01.07.2025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по  31.12.2025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6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27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3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0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58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3"/>
              </w:rPr>
              <w:t xml:space="preserve">-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left="0" w:right="-28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&gt;</w:t>
      </w:r>
      <w:r>
        <w:rPr>
          <w:rFonts w:ascii="Liberation Sans" w:hAnsi="Liberation Sans" w:eastAsia="Liberation Serif" w:cs="Liberation Sans"/>
          <w:color w:val="ff0000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потребители тепловой энергии (мощности), имеющие право на льготы, указанные в </w:t>
      </w:r>
      <w:hyperlink r:id="rId11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пунктах 2- 4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Закона Ямало-Ненецкого автономного округа </w:t>
        <w:br/>
        <w:t xml:space="preserve">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выпадающих доходов ресурсоснабжающим организациям, региональным операторам по обращению </w:t>
        <w:br/>
        <w:t xml:space="preserve">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left="0" w:right="-28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&lt;**&gt; потребители тепловой энергии (мощности), имеющие право на льготы, указанные в </w:t>
      </w:r>
      <w:hyperlink r:id="rId12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Закона Ямало-Ненецкого автономного округа </w:t>
      </w:r>
      <w:r>
        <w:rPr>
          <w:rFonts w:ascii="Liberation Sans" w:hAnsi="Liberation Sans" w:eastAsia="Liberation Serif" w:cs="Liberation Sans"/>
          <w:sz w:val="18"/>
          <w:szCs w:val="18"/>
        </w:rPr>
        <w:br/>
        <w:t xml:space="preserve">от 01 декабря 2014 года № 107-ЗАО «Об установлении отдельны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х категорий потребителей коммунальных ресурсов и коммунальной услуги по обращению с твердыми коммунальными отходами, имеющих право на льготы,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компенсации выпадающих доходов ресурсоснабжающим организациям, региональным операторам по обращению </w:t>
        <w:br/>
        <w:t xml:space="preserve">с твердыми ко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pStyle w:val="844"/>
        <w:ind w:left="0" w:right="-172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18"/>
          <w:szCs w:val="18"/>
        </w:rPr>
        <w:t xml:space="preserve">&lt;***&gt; Выделяется в целях реализации </w:t>
      </w:r>
      <w:hyperlink r:id="rId13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sz w:val="18"/>
            <w:szCs w:val="18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sz w:val="18"/>
          <w:szCs w:val="18"/>
        </w:rPr>
        <w:t xml:space="preserve"> Налогового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кодекса Российской Федерации.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sz w:val="18"/>
        </w:rPr>
      </w:pPr>
      <w:r>
        <w:rPr>
          <w:rFonts w:ascii="Liberation Sans" w:hAnsi="Liberation Sans" w:eastAsia="Liberation Serif" w:cs="Liberation Sans"/>
          <w:sz w:val="18"/>
          <w:szCs w:val="18"/>
        </w:rPr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Льготные тарифы на тепловую энергию также применяются в качестве компонентов на горячую воду в открытых и закрытых системах горячего водоснабже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ния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 </w:t>
      </w:r>
      <w:r>
        <w:rPr>
          <w:rFonts w:ascii="Liberation Sans" w:hAnsi="Liberation Sans" w:eastAsia="Liberation Serif" w:cs="Liberation Sans"/>
          <w:sz w:val="18"/>
          <w:szCs w:val="18"/>
        </w:rPr>
        <w:t xml:space="preserve">(теплоснабжения)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».</w:t>
      </w:r>
      <w:r>
        <w:rPr>
          <w:rFonts w:ascii="Liberation Sans" w:hAnsi="Liberation Sans" w:eastAsia="Liberation Serif" w:cs="Liberation Sans"/>
          <w:sz w:val="18"/>
        </w:rPr>
        <w:t xml:space="preserve"> </w:t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680" w:right="851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6">
    <w:name w:val="Heading 1 Char"/>
    <w:basedOn w:val="671"/>
    <w:link w:val="662"/>
    <w:uiPriority w:val="9"/>
    <w:rPr>
      <w:rFonts w:ascii="Arial" w:hAnsi="Arial" w:eastAsia="Arial" w:cs="Arial"/>
      <w:sz w:val="40"/>
      <w:szCs w:val="40"/>
    </w:rPr>
  </w:style>
  <w:style w:type="character" w:styleId="647">
    <w:name w:val="Heading 2 Char"/>
    <w:basedOn w:val="671"/>
    <w:link w:val="663"/>
    <w:uiPriority w:val="9"/>
    <w:rPr>
      <w:rFonts w:ascii="Arial" w:hAnsi="Arial" w:eastAsia="Arial" w:cs="Arial"/>
      <w:sz w:val="34"/>
    </w:rPr>
  </w:style>
  <w:style w:type="character" w:styleId="648">
    <w:name w:val="Heading 3 Char"/>
    <w:basedOn w:val="671"/>
    <w:link w:val="664"/>
    <w:uiPriority w:val="9"/>
    <w:rPr>
      <w:rFonts w:ascii="Arial" w:hAnsi="Arial" w:eastAsia="Arial" w:cs="Arial"/>
      <w:sz w:val="30"/>
      <w:szCs w:val="30"/>
    </w:rPr>
  </w:style>
  <w:style w:type="character" w:styleId="649">
    <w:name w:val="Heading 4 Char"/>
    <w:basedOn w:val="671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50">
    <w:name w:val="Heading 5 Char"/>
    <w:basedOn w:val="671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51">
    <w:name w:val="Heading 6 Char"/>
    <w:basedOn w:val="671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52">
    <w:name w:val="Heading 7 Char"/>
    <w:basedOn w:val="671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3">
    <w:name w:val="Heading 8 Char"/>
    <w:basedOn w:val="671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54">
    <w:name w:val="Heading 9 Char"/>
    <w:basedOn w:val="67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character" w:styleId="655">
    <w:name w:val="Title Char"/>
    <w:basedOn w:val="671"/>
    <w:link w:val="685"/>
    <w:uiPriority w:val="10"/>
    <w:rPr>
      <w:sz w:val="48"/>
      <w:szCs w:val="48"/>
    </w:rPr>
  </w:style>
  <w:style w:type="character" w:styleId="656">
    <w:name w:val="Subtitle Char"/>
    <w:basedOn w:val="671"/>
    <w:link w:val="687"/>
    <w:uiPriority w:val="11"/>
    <w:rPr>
      <w:sz w:val="24"/>
      <w:szCs w:val="24"/>
    </w:rPr>
  </w:style>
  <w:style w:type="character" w:styleId="657">
    <w:name w:val="Quote Char"/>
    <w:link w:val="689"/>
    <w:uiPriority w:val="29"/>
    <w:rPr>
      <w:i/>
    </w:rPr>
  </w:style>
  <w:style w:type="character" w:styleId="658">
    <w:name w:val="Intense Quote Char"/>
    <w:link w:val="691"/>
    <w:uiPriority w:val="30"/>
    <w:rPr>
      <w:i/>
    </w:rPr>
  </w:style>
  <w:style w:type="character" w:styleId="659">
    <w:name w:val="Footnote Text Char"/>
    <w:link w:val="826"/>
    <w:uiPriority w:val="99"/>
    <w:rPr>
      <w:sz w:val="18"/>
    </w:rPr>
  </w:style>
  <w:style w:type="character" w:styleId="660">
    <w:name w:val="Endnote Text Char"/>
    <w:link w:val="829"/>
    <w:uiPriority w:val="99"/>
    <w:rPr>
      <w:sz w:val="20"/>
    </w:rPr>
  </w:style>
  <w:style w:type="paragraph" w:styleId="661" w:default="1">
    <w:name w:val="Normal"/>
    <w:qFormat/>
    <w:rPr>
      <w:lang w:eastAsia="zh-CN"/>
    </w:rPr>
  </w:style>
  <w:style w:type="paragraph" w:styleId="662">
    <w:name w:val="Heading 1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3">
    <w:name w:val="Heading 2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4">
    <w:name w:val="Heading 3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5">
    <w:name w:val="Heading 4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6">
    <w:name w:val="Heading 5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7">
    <w:name w:val="Heading 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8">
    <w:name w:val="Heading 7"/>
    <w:link w:val="6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9">
    <w:name w:val="Heading 8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70">
    <w:name w:val="Heading 9"/>
    <w:link w:val="6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71" w:default="1">
    <w:name w:val="Default Paragraph Font"/>
    <w:uiPriority w:val="1"/>
    <w:semiHidden/>
    <w:unhideWhenUsed/>
  </w:style>
  <w:style w:type="table" w:styleId="6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3" w:default="1">
    <w:name w:val="No List"/>
    <w:uiPriority w:val="99"/>
    <w:semiHidden/>
    <w:unhideWhenUsed/>
  </w:style>
  <w:style w:type="character" w:styleId="674" w:customStyle="1">
    <w:name w:val="Заголовок 1 Знак"/>
    <w:link w:val="662"/>
    <w:uiPriority w:val="9"/>
    <w:rPr>
      <w:rFonts w:ascii="Arial" w:hAnsi="Arial" w:eastAsia="Arial" w:cs="Arial"/>
      <w:sz w:val="40"/>
      <w:szCs w:val="40"/>
    </w:rPr>
  </w:style>
  <w:style w:type="character" w:styleId="675" w:customStyle="1">
    <w:name w:val="Заголовок 2 Знак"/>
    <w:link w:val="663"/>
    <w:uiPriority w:val="9"/>
    <w:rPr>
      <w:rFonts w:ascii="Arial" w:hAnsi="Arial" w:eastAsia="Arial" w:cs="Arial"/>
      <w:sz w:val="34"/>
    </w:rPr>
  </w:style>
  <w:style w:type="character" w:styleId="676" w:customStyle="1">
    <w:name w:val="Заголовок 3 Знак"/>
    <w:link w:val="664"/>
    <w:uiPriority w:val="9"/>
    <w:rPr>
      <w:rFonts w:ascii="Arial" w:hAnsi="Arial" w:eastAsia="Arial" w:cs="Arial"/>
      <w:sz w:val="30"/>
      <w:szCs w:val="30"/>
    </w:rPr>
  </w:style>
  <w:style w:type="character" w:styleId="677" w:customStyle="1">
    <w:name w:val="Заголовок 4 Знак"/>
    <w:link w:val="66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Заголовок 5 Знак"/>
    <w:link w:val="66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Заголовок 6 Знак"/>
    <w:link w:val="66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Заголовок 7 Знак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Заголовок 8 Знак"/>
    <w:link w:val="66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Заголовок 9 Знак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4">
    <w:name w:val="No Spacing"/>
    <w:uiPriority w:val="1"/>
    <w:qFormat/>
    <w:rPr>
      <w:lang w:eastAsia="zh-CN"/>
    </w:rPr>
  </w:style>
  <w:style w:type="paragraph" w:styleId="685">
    <w:name w:val="Title"/>
    <w:link w:val="686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6" w:customStyle="1">
    <w:name w:val="Название Знак"/>
    <w:link w:val="685"/>
    <w:uiPriority w:val="10"/>
    <w:rPr>
      <w:sz w:val="48"/>
      <w:szCs w:val="48"/>
    </w:rPr>
  </w:style>
  <w:style w:type="paragraph" w:styleId="687">
    <w:name w:val="Subtitle"/>
    <w:link w:val="68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8" w:customStyle="1">
    <w:name w:val="Подзаголовок Знак"/>
    <w:link w:val="687"/>
    <w:uiPriority w:val="11"/>
    <w:rPr>
      <w:sz w:val="24"/>
      <w:szCs w:val="24"/>
    </w:rPr>
  </w:style>
  <w:style w:type="paragraph" w:styleId="689">
    <w:name w:val="Quote"/>
    <w:link w:val="690"/>
    <w:uiPriority w:val="29"/>
    <w:qFormat/>
    <w:pPr>
      <w:ind w:left="720" w:right="720"/>
    </w:pPr>
    <w:rPr>
      <w:i/>
      <w:lang w:eastAsia="zh-CN"/>
    </w:rPr>
  </w:style>
  <w:style w:type="character" w:styleId="690" w:customStyle="1">
    <w:name w:val="Цитата 2 Знак"/>
    <w:link w:val="689"/>
    <w:uiPriority w:val="29"/>
    <w:rPr>
      <w:i/>
    </w:rPr>
  </w:style>
  <w:style w:type="paragraph" w:styleId="691">
    <w:name w:val="Intense Quote"/>
    <w:link w:val="69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2" w:customStyle="1">
    <w:name w:val="Выделенная цитата Знак"/>
    <w:link w:val="691"/>
    <w:uiPriority w:val="30"/>
    <w:rPr>
      <w:i/>
    </w:rPr>
  </w:style>
  <w:style w:type="paragraph" w:styleId="693">
    <w:name w:val="Header"/>
    <w:basedOn w:val="661"/>
    <w:link w:val="84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Header Char"/>
    <w:uiPriority w:val="99"/>
  </w:style>
  <w:style w:type="paragraph" w:styleId="695">
    <w:name w:val="Footer"/>
    <w:basedOn w:val="661"/>
    <w:link w:val="85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6" w:customStyle="1">
    <w:name w:val="Footer Char"/>
    <w:uiPriority w:val="99"/>
  </w:style>
  <w:style w:type="paragraph" w:styleId="697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8" w:customStyle="1">
    <w:name w:val="Caption Char"/>
    <w:uiPriority w:val="99"/>
  </w:style>
  <w:style w:type="table" w:styleId="699">
    <w:name w:val="Table Grid"/>
    <w:basedOn w:val="672"/>
    <w:tblPr/>
  </w:style>
  <w:style w:type="table" w:styleId="700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2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6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5">
    <w:name w:val="Hyperlink"/>
    <w:uiPriority w:val="99"/>
    <w:unhideWhenUsed/>
    <w:rPr>
      <w:color w:val="0000ff"/>
      <w:u w:val="single"/>
    </w:rPr>
  </w:style>
  <w:style w:type="paragraph" w:styleId="826">
    <w:name w:val="footnote text"/>
    <w:link w:val="827"/>
    <w:uiPriority w:val="99"/>
    <w:semiHidden/>
    <w:unhideWhenUsed/>
    <w:pPr>
      <w:spacing w:after="40"/>
    </w:pPr>
    <w:rPr>
      <w:sz w:val="18"/>
      <w:lang w:eastAsia="zh-CN"/>
    </w:r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uiPriority w:val="99"/>
    <w:unhideWhenUsed/>
    <w:rPr>
      <w:vertAlign w:val="superscript"/>
    </w:rPr>
  </w:style>
  <w:style w:type="paragraph" w:styleId="829">
    <w:name w:val="endnote text"/>
    <w:link w:val="830"/>
    <w:uiPriority w:val="99"/>
    <w:semiHidden/>
    <w:unhideWhenUsed/>
    <w:rPr>
      <w:lang w:eastAsia="zh-CN"/>
    </w:rPr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uiPriority w:val="99"/>
    <w:semiHidden/>
    <w:unhideWhenUsed/>
    <w:rPr>
      <w:vertAlign w:val="superscript"/>
    </w:rPr>
  </w:style>
  <w:style w:type="paragraph" w:styleId="832">
    <w:name w:val="toc 1"/>
    <w:uiPriority w:val="39"/>
    <w:unhideWhenUsed/>
    <w:pPr>
      <w:spacing w:after="57"/>
    </w:pPr>
    <w:rPr>
      <w:lang w:eastAsia="zh-CN"/>
    </w:rPr>
  </w:style>
  <w:style w:type="paragraph" w:styleId="833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4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5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6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7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8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9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0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1">
    <w:name w:val="TOC Heading"/>
    <w:uiPriority w:val="39"/>
    <w:unhideWhenUsed/>
    <w:rPr>
      <w:lang w:eastAsia="zh-CN"/>
    </w:rPr>
  </w:style>
  <w:style w:type="paragraph" w:styleId="842">
    <w:name w:val="table of figures"/>
    <w:uiPriority w:val="99"/>
    <w:unhideWhenUsed/>
    <w:rPr>
      <w:lang w:eastAsia="zh-CN"/>
    </w:rPr>
  </w:style>
  <w:style w:type="paragraph" w:styleId="843" w:customStyle="1">
    <w:name w:val="Знак Знак Знак Знак"/>
    <w:basedOn w:val="66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4" w:customStyle="1">
    <w:name w:val="ConsPlusNormal"/>
    <w:pPr>
      <w:ind w:firstLine="720"/>
    </w:pPr>
    <w:rPr>
      <w:rFonts w:ascii="Arial" w:hAnsi="Arial"/>
    </w:rPr>
  </w:style>
  <w:style w:type="paragraph" w:styleId="845" w:customStyle="1">
    <w:name w:val="ConsPlusCell"/>
    <w:pPr>
      <w:widowControl w:val="off"/>
    </w:pPr>
    <w:rPr>
      <w:rFonts w:ascii="Arial" w:hAnsi="Arial"/>
    </w:rPr>
  </w:style>
  <w:style w:type="paragraph" w:styleId="846">
    <w:name w:val="Body Text Indent 2"/>
    <w:basedOn w:val="661"/>
    <w:link w:val="848"/>
    <w:pPr>
      <w:ind w:firstLine="720"/>
      <w:jc w:val="both"/>
    </w:pPr>
    <w:rPr>
      <w:sz w:val="28"/>
      <w:lang w:val="en-US" w:eastAsia="en-US"/>
    </w:rPr>
  </w:style>
  <w:style w:type="paragraph" w:styleId="847" w:customStyle="1">
    <w:name w:val="ConsPlusNonformat"/>
    <w:rPr>
      <w:rFonts w:ascii="Courier New" w:hAnsi="Courier New"/>
    </w:rPr>
  </w:style>
  <w:style w:type="character" w:styleId="848" w:customStyle="1">
    <w:name w:val="Основной текст с отступом 2 Знак"/>
    <w:link w:val="846"/>
    <w:rPr>
      <w:sz w:val="28"/>
      <w:szCs w:val="24"/>
    </w:rPr>
  </w:style>
  <w:style w:type="character" w:styleId="849" w:customStyle="1">
    <w:name w:val="Верхний колонтитул Знак"/>
    <w:link w:val="693"/>
    <w:rPr>
      <w:sz w:val="24"/>
      <w:szCs w:val="24"/>
    </w:rPr>
  </w:style>
  <w:style w:type="character" w:styleId="850" w:customStyle="1">
    <w:name w:val="Нижний колонтитул Знак"/>
    <w:link w:val="695"/>
    <w:rPr>
      <w:sz w:val="24"/>
      <w:szCs w:val="24"/>
    </w:rPr>
  </w:style>
  <w:style w:type="paragraph" w:styleId="851" w:customStyle="1">
    <w:name w:val="ConsPlusTitle"/>
    <w:pPr>
      <w:widowControl w:val="off"/>
    </w:pPr>
    <w:rPr>
      <w:b/>
      <w:bCs/>
      <w:sz w:val="24"/>
      <w:szCs w:val="24"/>
    </w:rPr>
  </w:style>
  <w:style w:type="paragraph" w:styleId="852">
    <w:name w:val="Body Text Indent"/>
    <w:basedOn w:val="661"/>
    <w:link w:val="853"/>
    <w:pPr>
      <w:ind w:left="283"/>
      <w:spacing w:after="120"/>
    </w:pPr>
    <w:rPr>
      <w:lang w:val="en-US" w:eastAsia="en-US"/>
    </w:rPr>
  </w:style>
  <w:style w:type="character" w:styleId="853" w:customStyle="1">
    <w:name w:val="Основной текст с отступом Знак"/>
    <w:link w:val="852"/>
    <w:rPr>
      <w:sz w:val="24"/>
      <w:szCs w:val="24"/>
    </w:rPr>
  </w:style>
  <w:style w:type="paragraph" w:styleId="854">
    <w:name w:val="Balloon Text"/>
    <w:basedOn w:val="661"/>
    <w:link w:val="855"/>
    <w:rPr>
      <w:rFonts w:ascii="Tahoma" w:hAnsi="Tahoma"/>
      <w:sz w:val="16"/>
      <w:szCs w:val="16"/>
      <w:lang w:val="en-US" w:eastAsia="en-US"/>
    </w:rPr>
  </w:style>
  <w:style w:type="character" w:styleId="855" w:customStyle="1">
    <w:name w:val="Текст выноски Знак"/>
    <w:link w:val="854"/>
    <w:rPr>
      <w:rFonts w:ascii="Tahoma" w:hAnsi="Tahoma"/>
      <w:sz w:val="16"/>
      <w:szCs w:val="16"/>
    </w:rPr>
  </w:style>
  <w:style w:type="paragraph" w:styleId="856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  <w:style w:type="paragraph" w:styleId="857" w:customStyle="1">
    <w:name w:val="Основной текст с отступом 2"/>
    <w:basedOn w:val="823"/>
    <w:next w:val="831"/>
    <w:link w:val="833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BC4FDCB53AB2EC8B14B6B3AE8120CF99E618AD28C81A94C69A1C057EC095CEE9BB73B2CF9B88F0D7DA4765HEQ0F" TargetMode="External"/><Relationship Id="rId12" Type="http://schemas.openxmlformats.org/officeDocument/2006/relationships/hyperlink" Target="consultantplus://offline/ref=BC4FDCB53AB2EC8B14B6B3AE8120CF99E618AD28C81A94C69A1C057EC095CEE9BB73B2CF9B88F0D7DA4765HEQFF" TargetMode="External"/><Relationship Id="rId13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17</cp:revision>
  <dcterms:created xsi:type="dcterms:W3CDTF">2022-11-17T04:22:00Z</dcterms:created>
  <dcterms:modified xsi:type="dcterms:W3CDTF">2023-12-18T11:57:07Z</dcterms:modified>
</cp:coreProperties>
</file>